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拟表彰的国家电力投资集团公司文明单位名单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一、拟表彰的二级单位名单：</w:t>
      </w:r>
      <w:bookmarkStart w:id="0" w:name="_GoBack"/>
      <w:bookmarkEnd w:id="0"/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ascii="仿宋" w:hAnsi="仿宋" w:eastAsia="仿宋" w:cs="等线"/>
                <w:sz w:val="30"/>
                <w:szCs w:val="30"/>
              </w:rPr>
              <w:t>1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国家电投东北电力有限公司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五凌电力有限公司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国家电投集团江苏电力有限公司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4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国家电投集团财务有限公司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5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国家电力投资集团有限公司湖北分公司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6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中国电力国际有限公司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7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山东核电设备制造有限公司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8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国核宝钛锆业股份公司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9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国家电力投资集团有限公司安徽分公司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10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江西核电有限公司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11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12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国核湛江核电有限公司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13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国家电投党校（战略研究院）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1</w:t>
            </w:r>
            <w:r>
              <w:rPr>
                <w:rFonts w:ascii="仿宋" w:hAnsi="仿宋" w:eastAsia="仿宋" w:cs="等线"/>
                <w:sz w:val="30"/>
                <w:szCs w:val="30"/>
              </w:rPr>
              <w:t>4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hint="eastAsia"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国家电投集团内蒙古能源有限公司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1</w:t>
            </w:r>
            <w:r>
              <w:rPr>
                <w:rFonts w:ascii="仿宋" w:hAnsi="仿宋" w:eastAsia="仿宋" w:cs="等线"/>
                <w:sz w:val="30"/>
                <w:szCs w:val="30"/>
              </w:rPr>
              <w:t>5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国核电站运行服务技术有限公司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1</w:t>
            </w:r>
            <w:r>
              <w:rPr>
                <w:rFonts w:ascii="仿宋" w:hAnsi="仿宋" w:eastAsia="仿宋" w:cs="等线"/>
                <w:sz w:val="30"/>
                <w:szCs w:val="30"/>
              </w:rPr>
              <w:t>6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1</w:t>
            </w:r>
            <w:r>
              <w:rPr>
                <w:rFonts w:ascii="仿宋" w:hAnsi="仿宋" w:eastAsia="仿宋" w:cs="等线"/>
                <w:sz w:val="30"/>
                <w:szCs w:val="30"/>
              </w:rPr>
              <w:t>7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国家电投集团四川电力有限公司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1</w:t>
            </w:r>
            <w:r>
              <w:rPr>
                <w:rFonts w:ascii="仿宋" w:hAnsi="仿宋" w:eastAsia="仿宋" w:cs="等线"/>
                <w:sz w:val="30"/>
                <w:szCs w:val="30"/>
              </w:rPr>
              <w:t>8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国家电投集团科学技术研究院有限公司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ascii="仿宋" w:hAnsi="仿宋" w:eastAsia="仿宋" w:cs="等线"/>
                <w:sz w:val="30"/>
                <w:szCs w:val="30"/>
              </w:rPr>
              <w:t>19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吉林电力股份有限公司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</w:t>
            </w:r>
            <w:r>
              <w:rPr>
                <w:rFonts w:ascii="仿宋" w:hAnsi="仿宋" w:eastAsia="仿宋" w:cs="等线"/>
                <w:sz w:val="30"/>
                <w:szCs w:val="30"/>
              </w:rPr>
              <w:t>0</w:t>
            </w:r>
          </w:p>
        </w:tc>
        <w:tc>
          <w:tcPr>
            <w:tcW w:w="7400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山东电力工程咨询院有限公司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二、拟表彰的三级单位名单：</w:t>
      </w:r>
    </w:p>
    <w:tbl>
      <w:tblPr>
        <w:tblStyle w:val="5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21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贵州金元茶园发电有限责任公司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22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sz w:val="28"/>
                <w:szCs w:val="28"/>
              </w:rPr>
              <w:t>青海黄河上游水电开发有限责任公司李家峡发电分公司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23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黄河鑫业有限公司</w:t>
            </w:r>
          </w:p>
        </w:tc>
      </w:tr>
      <w:tr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</w:t>
            </w:r>
            <w:r>
              <w:rPr>
                <w:rFonts w:ascii="仿宋" w:hAnsi="仿宋" w:eastAsia="仿宋" w:cs="等线"/>
                <w:sz w:val="30"/>
                <w:szCs w:val="30"/>
              </w:rPr>
              <w:t>4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青海黄河上游水电开发有限责任公司班多发电分公司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</w:t>
            </w:r>
            <w:r>
              <w:rPr>
                <w:rFonts w:ascii="仿宋" w:hAnsi="仿宋" w:eastAsia="仿宋" w:cs="等线"/>
                <w:sz w:val="30"/>
                <w:szCs w:val="30"/>
              </w:rPr>
              <w:t>5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国家电投江苏海上风力发电有限公司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26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蒙江水力发电总厂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27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国家电投集团新疆哈密有限公司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28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国家电投东北公司辽宁清河发电有限责任公司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29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安徽淮南平圩发电有限责任公司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30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国家电投东北公司大连大发能源分公司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31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上海漕泾热电有限责任公司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32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上海电力土耳其EMBA发电有限公司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33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中电投新疆能源化工五彩湾发电有限责任公司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34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国家电投集团江西电力有限公司新能源发电分公司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35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上海源烨新能源有限公司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</w:t>
            </w:r>
            <w:r>
              <w:rPr>
                <w:rFonts w:ascii="仿宋" w:hAnsi="仿宋" w:eastAsia="仿宋" w:cs="等线"/>
                <w:sz w:val="30"/>
                <w:szCs w:val="30"/>
              </w:rPr>
              <w:t>6</w:t>
            </w:r>
          </w:p>
        </w:tc>
        <w:tc>
          <w:tcPr>
            <w:tcW w:w="7342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国家电投集团杭州新能源生产运营有限公司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37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上海申核能源工程技术有限公司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38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内蒙古霍煤鸿骏铝电有限责任公司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39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中电国际新能源海南有限公司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40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hint="eastAsia"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国家电投集团宁夏能源铝业中卫新能源有限公司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41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国家电投集团云南国际电力投资有限公司新能源开发分公司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42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中电（湖南）能源投资有限公司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43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通辽霍林河坑口发电有限责任公司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44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国核电力规划设计研究院重庆有限公司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4</w:t>
            </w:r>
            <w:r>
              <w:rPr>
                <w:rFonts w:ascii="仿宋" w:hAnsi="仿宋" w:eastAsia="仿宋" w:cs="等线"/>
                <w:sz w:val="30"/>
                <w:szCs w:val="30"/>
              </w:rPr>
              <w:t>5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电能（北京）工程监理有限公司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4</w:t>
            </w:r>
            <w:r>
              <w:rPr>
                <w:rFonts w:ascii="仿宋" w:hAnsi="仿宋" w:eastAsia="仿宋" w:cs="等线"/>
                <w:sz w:val="30"/>
                <w:szCs w:val="30"/>
              </w:rPr>
              <w:t>6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国家电投集团保险经纪有限公司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ascii="仿宋" w:hAnsi="仿宋" w:eastAsia="仿宋" w:cs="等线"/>
                <w:sz w:val="30"/>
                <w:szCs w:val="30"/>
              </w:rPr>
              <w:t>47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国家电投新乡华新电力集团股份公司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8" w:type="dxa"/>
            <w:shd w:val="clear" w:color="auto" w:fill="auto"/>
            <w:noWrap/>
          </w:tcPr>
          <w:p>
            <w:pPr>
              <w:jc w:val="center"/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4</w:t>
            </w:r>
            <w:r>
              <w:rPr>
                <w:rFonts w:ascii="仿宋" w:hAnsi="仿宋" w:eastAsia="仿宋" w:cs="等线"/>
                <w:sz w:val="30"/>
                <w:szCs w:val="30"/>
              </w:rPr>
              <w:t>8</w:t>
            </w:r>
          </w:p>
        </w:tc>
        <w:tc>
          <w:tcPr>
            <w:tcW w:w="7342" w:type="dxa"/>
            <w:shd w:val="clear" w:color="auto" w:fill="auto"/>
          </w:tcPr>
          <w:p>
            <w:pPr>
              <w:rPr>
                <w:rFonts w:ascii="仿宋" w:hAnsi="仿宋" w:eastAsia="仿宋" w:cs="等线"/>
                <w:sz w:val="30"/>
                <w:szCs w:val="30"/>
              </w:rPr>
            </w:pPr>
            <w:r>
              <w:rPr>
                <w:rFonts w:hint="eastAsia" w:ascii="仿宋" w:hAnsi="仿宋" w:eastAsia="仿宋" w:cs="等线"/>
                <w:sz w:val="30"/>
                <w:szCs w:val="30"/>
              </w:rPr>
              <w:t>国电投河南电力工程有限公司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jODQ4NWM1ZDBlNTU5MmI5NzM4MmQ1NGFkZGMxYmQifQ=="/>
  </w:docVars>
  <w:rsids>
    <w:rsidRoot w:val="00864AFF"/>
    <w:rsid w:val="000B10D7"/>
    <w:rsid w:val="000D55EC"/>
    <w:rsid w:val="00122B65"/>
    <w:rsid w:val="001E5FE7"/>
    <w:rsid w:val="00280209"/>
    <w:rsid w:val="00390A8D"/>
    <w:rsid w:val="003D1390"/>
    <w:rsid w:val="003F2FFE"/>
    <w:rsid w:val="0047218F"/>
    <w:rsid w:val="004A3F65"/>
    <w:rsid w:val="004D617D"/>
    <w:rsid w:val="00525CD0"/>
    <w:rsid w:val="00541B49"/>
    <w:rsid w:val="005A4008"/>
    <w:rsid w:val="007955AA"/>
    <w:rsid w:val="00814E4D"/>
    <w:rsid w:val="00832EB9"/>
    <w:rsid w:val="00864AFF"/>
    <w:rsid w:val="0091337A"/>
    <w:rsid w:val="00AF7030"/>
    <w:rsid w:val="00B464A7"/>
    <w:rsid w:val="00B659AD"/>
    <w:rsid w:val="00BB034F"/>
    <w:rsid w:val="00BB5FF8"/>
    <w:rsid w:val="00DB04B4"/>
    <w:rsid w:val="00DF507B"/>
    <w:rsid w:val="00E73D78"/>
    <w:rsid w:val="00F27DBC"/>
    <w:rsid w:val="0CA6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796</Words>
  <Characters>838</Characters>
  <Lines>6</Lines>
  <Paragraphs>1</Paragraphs>
  <TotalTime>2</TotalTime>
  <ScaleCrop>false</ScaleCrop>
  <LinksUpToDate>false</LinksUpToDate>
  <CharactersWithSpaces>838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2023-02-24T06:13:00Z</dcterms:created>
  <dc:creator>田一土</dc:creator>
  <cp:lastModifiedBy>Old soldiers never die</cp:lastModifiedBy>
  <cp:lastPrinted>2023-03-01T10:01:00Z</cp:lastPrinted>
  <dcterms:modified xsi:type="dcterms:W3CDTF">2023-03-01T12:28:05Z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2D377558BF9C492E91DFAB6AC571F7DC</vt:lpwstr>
  </property>
</Properties>
</file>